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31CC4" w14:paraId="50BB531E" w14:textId="77777777" w:rsidTr="00331CC4">
        <w:tc>
          <w:tcPr>
            <w:tcW w:w="9016" w:type="dxa"/>
          </w:tcPr>
          <w:p w14:paraId="17AD73CB" w14:textId="77777777" w:rsidR="00331CC4" w:rsidRPr="00331CC4" w:rsidRDefault="00331CC4" w:rsidP="00331CC4">
            <w:pPr>
              <w:jc w:val="center"/>
              <w:rPr>
                <w:b/>
                <w:bCs/>
                <w:sz w:val="32"/>
                <w:szCs w:val="32"/>
              </w:rPr>
            </w:pPr>
            <w:r w:rsidRPr="00331CC4">
              <w:rPr>
                <w:b/>
                <w:bCs/>
                <w:sz w:val="32"/>
                <w:szCs w:val="32"/>
              </w:rPr>
              <w:t>Memorandum</w:t>
            </w:r>
          </w:p>
          <w:p w14:paraId="4AB65A84" w14:textId="7C34FBD1" w:rsidR="00331CC4" w:rsidRDefault="00331CC4" w:rsidP="00331CC4">
            <w:pPr>
              <w:jc w:val="center"/>
              <w:rPr>
                <w:b/>
                <w:bCs/>
              </w:rPr>
            </w:pPr>
          </w:p>
        </w:tc>
      </w:tr>
      <w:tr w:rsidR="00763DB5" w14:paraId="1D64F7A9" w14:textId="77777777" w:rsidTr="00331CC4">
        <w:tc>
          <w:tcPr>
            <w:tcW w:w="9016" w:type="dxa"/>
          </w:tcPr>
          <w:p w14:paraId="36BA9666" w14:textId="18DEA9AF" w:rsidR="00763DB5" w:rsidRDefault="00763DB5" w:rsidP="00331CC4">
            <w:pPr>
              <w:rPr>
                <w:b/>
                <w:bCs/>
              </w:rPr>
            </w:pPr>
            <w:r>
              <w:rPr>
                <w:b/>
                <w:bCs/>
              </w:rPr>
              <w:t>Date: 11 October 2022</w:t>
            </w:r>
          </w:p>
          <w:p w14:paraId="0DE821CA" w14:textId="002F6ECE" w:rsidR="00763DB5" w:rsidRDefault="00763DB5" w:rsidP="00331CC4">
            <w:pPr>
              <w:rPr>
                <w:b/>
                <w:bCs/>
              </w:rPr>
            </w:pPr>
          </w:p>
        </w:tc>
      </w:tr>
      <w:tr w:rsidR="00331CC4" w14:paraId="20C17D3F" w14:textId="77777777" w:rsidTr="00331CC4">
        <w:tc>
          <w:tcPr>
            <w:tcW w:w="9016" w:type="dxa"/>
          </w:tcPr>
          <w:p w14:paraId="04E58D39" w14:textId="4894AB8E" w:rsidR="00331CC4" w:rsidRDefault="00331CC4" w:rsidP="00331CC4">
            <w:pPr>
              <w:rPr>
                <w:b/>
                <w:bCs/>
              </w:rPr>
            </w:pPr>
            <w:r>
              <w:rPr>
                <w:b/>
                <w:bCs/>
              </w:rPr>
              <w:t xml:space="preserve">To : Western Regional Joint Regional Planning Panel </w:t>
            </w:r>
            <w:r w:rsidR="00763DB5">
              <w:rPr>
                <w:b/>
                <w:bCs/>
              </w:rPr>
              <w:t xml:space="preserve">, State Panel Members </w:t>
            </w:r>
          </w:p>
          <w:p w14:paraId="3D708595" w14:textId="78C6FD04" w:rsidR="00D50FE5" w:rsidRDefault="00D50FE5" w:rsidP="00331CC4">
            <w:pPr>
              <w:rPr>
                <w:b/>
                <w:bCs/>
              </w:rPr>
            </w:pPr>
          </w:p>
        </w:tc>
      </w:tr>
      <w:tr w:rsidR="00331CC4" w14:paraId="1332D21C" w14:textId="77777777" w:rsidTr="00331CC4">
        <w:tc>
          <w:tcPr>
            <w:tcW w:w="9016" w:type="dxa"/>
          </w:tcPr>
          <w:p w14:paraId="1F9E7D5E" w14:textId="77777777" w:rsidR="00331CC4" w:rsidRDefault="00331CC4" w:rsidP="00331CC4">
            <w:pPr>
              <w:rPr>
                <w:b/>
                <w:bCs/>
              </w:rPr>
            </w:pPr>
            <w:r>
              <w:rPr>
                <w:b/>
                <w:bCs/>
              </w:rPr>
              <w:t xml:space="preserve">From: Marie Sutton, Edward River Council , Manager Development Services </w:t>
            </w:r>
          </w:p>
          <w:p w14:paraId="39EEA4BE" w14:textId="75678677" w:rsidR="00D50FE5" w:rsidRDefault="00D50FE5" w:rsidP="00331CC4">
            <w:pPr>
              <w:rPr>
                <w:b/>
                <w:bCs/>
              </w:rPr>
            </w:pPr>
          </w:p>
        </w:tc>
      </w:tr>
      <w:tr w:rsidR="00331CC4" w14:paraId="363335D3" w14:textId="77777777" w:rsidTr="00331CC4">
        <w:tc>
          <w:tcPr>
            <w:tcW w:w="9016" w:type="dxa"/>
          </w:tcPr>
          <w:p w14:paraId="06E1F0A1" w14:textId="1E8F72AF" w:rsidR="00331CC4" w:rsidRDefault="00331CC4" w:rsidP="00331CC4">
            <w:pPr>
              <w:rPr>
                <w:b/>
                <w:bCs/>
              </w:rPr>
            </w:pPr>
            <w:r>
              <w:rPr>
                <w:b/>
                <w:bCs/>
              </w:rPr>
              <w:t>Subject:</w:t>
            </w:r>
            <w:r w:rsidR="00763DB5">
              <w:rPr>
                <w:b/>
                <w:bCs/>
              </w:rPr>
              <w:t xml:space="preserve"> </w:t>
            </w:r>
            <w:r>
              <w:rPr>
                <w:b/>
                <w:bCs/>
              </w:rPr>
              <w:t>DA 124/21 , Seniors Living Precinct ,  Panel reference No PPSWES- 126</w:t>
            </w:r>
          </w:p>
          <w:p w14:paraId="7E30EE4F" w14:textId="1E3C35A0" w:rsidR="00D50FE5" w:rsidRDefault="00D50FE5" w:rsidP="00331CC4">
            <w:pPr>
              <w:rPr>
                <w:b/>
                <w:bCs/>
              </w:rPr>
            </w:pPr>
          </w:p>
        </w:tc>
      </w:tr>
      <w:tr w:rsidR="00331CC4" w14:paraId="1DDCAAEA" w14:textId="77777777" w:rsidTr="00331CC4">
        <w:tc>
          <w:tcPr>
            <w:tcW w:w="9016" w:type="dxa"/>
          </w:tcPr>
          <w:p w14:paraId="32B3C0D6" w14:textId="77777777" w:rsidR="00331CC4" w:rsidRDefault="00331CC4" w:rsidP="00331CC4">
            <w:pPr>
              <w:rPr>
                <w:b/>
                <w:bCs/>
              </w:rPr>
            </w:pPr>
            <w:r>
              <w:rPr>
                <w:b/>
                <w:bCs/>
              </w:rPr>
              <w:t>Reason for memorandum: To provide information re flood planning assessment for DA 124/21 against the Deniliquin LEP 2013</w:t>
            </w:r>
          </w:p>
          <w:p w14:paraId="0D1C9DC1" w14:textId="24D8F821" w:rsidR="00D50FE5" w:rsidRDefault="00D50FE5" w:rsidP="00331CC4">
            <w:pPr>
              <w:rPr>
                <w:b/>
                <w:bCs/>
              </w:rPr>
            </w:pPr>
          </w:p>
        </w:tc>
      </w:tr>
    </w:tbl>
    <w:p w14:paraId="01CC5DE6" w14:textId="1A738994" w:rsidR="00331CC4" w:rsidRDefault="00331CC4" w:rsidP="00331CC4">
      <w:pPr>
        <w:rPr>
          <w:b/>
          <w:bCs/>
        </w:rPr>
      </w:pPr>
    </w:p>
    <w:p w14:paraId="25946C68" w14:textId="4458F56E" w:rsidR="00331CC4" w:rsidRPr="005902C7" w:rsidRDefault="00D50FE5" w:rsidP="00331CC4">
      <w:r w:rsidRPr="005902C7">
        <w:t xml:space="preserve">This is to provide information on  the </w:t>
      </w:r>
      <w:r w:rsidR="005902C7" w:rsidRPr="005902C7">
        <w:t xml:space="preserve">assessment </w:t>
      </w:r>
      <w:r w:rsidRPr="005902C7">
        <w:t xml:space="preserve"> against the Deniliquin LEP 2013 in relation to Flood Planning considerations for the proposed Seniors living Development</w:t>
      </w:r>
    </w:p>
    <w:p w14:paraId="31D75CB1" w14:textId="15959A7C" w:rsidR="00040615" w:rsidRPr="005902C7" w:rsidRDefault="00040615" w:rsidP="00331CC4">
      <w:r w:rsidRPr="005902C7">
        <w:t xml:space="preserve">Council has considered the provisions of clause 5.21 </w:t>
      </w:r>
      <w:r w:rsidR="005902C7">
        <w:t xml:space="preserve"> as listed below </w:t>
      </w:r>
      <w:r w:rsidRPr="005902C7">
        <w:t xml:space="preserve">and in </w:t>
      </w:r>
      <w:proofErr w:type="gramStart"/>
      <w:r w:rsidRPr="005902C7">
        <w:t>particular sub</w:t>
      </w:r>
      <w:proofErr w:type="gramEnd"/>
      <w:r w:rsidRPr="005902C7">
        <w:t xml:space="preserve"> clauses 5.21 , 2 (C ) and 5.21 3 ( C) and concludes that the development will not adversely affect the safe occupation and efficient evacuation of people or exceed the capacity of existing </w:t>
      </w:r>
      <w:r w:rsidR="005902C7" w:rsidRPr="005902C7">
        <w:t xml:space="preserve">evacuation routes for the surrounding area in the event on a flood due to the location of the site and the protection of the land afforded to it by the town levee system.  </w:t>
      </w:r>
    </w:p>
    <w:p w14:paraId="563C3125" w14:textId="155C21AC" w:rsidR="00040615" w:rsidRPr="00040615" w:rsidRDefault="00040615" w:rsidP="00040615">
      <w:r w:rsidRPr="00040615">
        <w:t xml:space="preserve">The subject land is protected by the </w:t>
      </w:r>
      <w:r w:rsidR="005902C7">
        <w:t xml:space="preserve">South </w:t>
      </w:r>
      <w:r w:rsidRPr="00040615">
        <w:t xml:space="preserve">Deniliquin Levee system to a 1%  flood occurrence + </w:t>
      </w:r>
      <w:r w:rsidR="00785E7C">
        <w:t>5</w:t>
      </w:r>
      <w:r w:rsidRPr="00040615">
        <w:t>00m</w:t>
      </w:r>
      <w:r w:rsidR="00F90F70">
        <w:t>m</w:t>
      </w:r>
      <w:r w:rsidRPr="00040615">
        <w:t xml:space="preserve"> freeboard.   There are no additional protection requirements or finished floor heights for this land and it is considered that the objectives and considerations contained in clauses 5.21 (1),(2),(3),relating to the flood planning have been</w:t>
      </w:r>
      <w:r w:rsidR="002C32FC">
        <w:t xml:space="preserve"> satisfactorily</w:t>
      </w:r>
      <w:r w:rsidRPr="00040615">
        <w:t xml:space="preserve"> met .</w:t>
      </w:r>
    </w:p>
    <w:p w14:paraId="100535AA" w14:textId="71252456" w:rsidR="00331CC4" w:rsidRDefault="00331CC4" w:rsidP="00331CC4">
      <w:pPr>
        <w:rPr>
          <w:b/>
          <w:bCs/>
        </w:rPr>
      </w:pPr>
      <w:r w:rsidRPr="00331CC4">
        <w:rPr>
          <w:b/>
          <w:bCs/>
        </w:rPr>
        <w:t>Flood Planning</w:t>
      </w:r>
      <w:r w:rsidR="00763DB5">
        <w:rPr>
          <w:b/>
          <w:bCs/>
        </w:rPr>
        <w:t xml:space="preserve">, Clause 5.21 </w:t>
      </w:r>
      <w:r w:rsidR="00040615" w:rsidRPr="00040615">
        <w:rPr>
          <w:b/>
          <w:bCs/>
        </w:rPr>
        <w:t>Deniliquin LEP 2013</w:t>
      </w:r>
    </w:p>
    <w:p w14:paraId="6FDF6E12" w14:textId="77777777" w:rsidR="00763DB5" w:rsidRPr="00763DB5" w:rsidRDefault="00763DB5" w:rsidP="00763DB5">
      <w:pPr>
        <w:rPr>
          <w:i/>
          <w:iCs/>
        </w:rPr>
      </w:pPr>
      <w:r w:rsidRPr="00763DB5">
        <w:t xml:space="preserve">1)  </w:t>
      </w:r>
      <w:r w:rsidRPr="00763DB5">
        <w:rPr>
          <w:i/>
          <w:iCs/>
        </w:rPr>
        <w:t>The objectives of this clause are as follows—</w:t>
      </w:r>
    </w:p>
    <w:p w14:paraId="698E9075" w14:textId="77777777" w:rsidR="00763DB5" w:rsidRPr="00763DB5" w:rsidRDefault="00763DB5" w:rsidP="00763DB5">
      <w:pPr>
        <w:rPr>
          <w:i/>
          <w:iCs/>
        </w:rPr>
      </w:pPr>
      <w:r w:rsidRPr="00763DB5">
        <w:rPr>
          <w:i/>
          <w:iCs/>
        </w:rPr>
        <w:t>(a)  to minimise the flood risk to life and property associated with the use of land,</w:t>
      </w:r>
    </w:p>
    <w:p w14:paraId="1D48C321" w14:textId="77777777" w:rsidR="00763DB5" w:rsidRPr="00763DB5" w:rsidRDefault="00763DB5" w:rsidP="00763DB5">
      <w:pPr>
        <w:rPr>
          <w:i/>
          <w:iCs/>
        </w:rPr>
      </w:pPr>
      <w:r w:rsidRPr="00763DB5">
        <w:rPr>
          <w:i/>
          <w:iCs/>
        </w:rPr>
        <w:t xml:space="preserve">(b)  to allow development on land that is compatible with the flood function and behaviour on the land, </w:t>
      </w:r>
      <w:proofErr w:type="gramStart"/>
      <w:r w:rsidRPr="00763DB5">
        <w:rPr>
          <w:i/>
          <w:iCs/>
        </w:rPr>
        <w:t>taking into account</w:t>
      </w:r>
      <w:proofErr w:type="gramEnd"/>
      <w:r w:rsidRPr="00763DB5">
        <w:rPr>
          <w:i/>
          <w:iCs/>
        </w:rPr>
        <w:t xml:space="preserve"> projected changes as a result of climate change,</w:t>
      </w:r>
    </w:p>
    <w:p w14:paraId="0B728EAD" w14:textId="77777777" w:rsidR="00763DB5" w:rsidRPr="00763DB5" w:rsidRDefault="00763DB5" w:rsidP="00763DB5">
      <w:pPr>
        <w:rPr>
          <w:i/>
          <w:iCs/>
        </w:rPr>
      </w:pPr>
      <w:r w:rsidRPr="00763DB5">
        <w:rPr>
          <w:i/>
          <w:iCs/>
        </w:rPr>
        <w:t>(c)  to avoid adverse or cumulative impacts on flood behaviour and the environment,</w:t>
      </w:r>
    </w:p>
    <w:p w14:paraId="44D8337A" w14:textId="77777777" w:rsidR="00763DB5" w:rsidRPr="00763DB5" w:rsidRDefault="00763DB5" w:rsidP="00763DB5">
      <w:pPr>
        <w:rPr>
          <w:i/>
          <w:iCs/>
        </w:rPr>
      </w:pPr>
      <w:r w:rsidRPr="00763DB5">
        <w:rPr>
          <w:i/>
          <w:iCs/>
        </w:rPr>
        <w:t>(d)  to enable the safe occupation and efficient evacuation of people in the event of a flood.</w:t>
      </w:r>
    </w:p>
    <w:p w14:paraId="353BA4BD" w14:textId="77777777" w:rsidR="00763DB5" w:rsidRPr="00763DB5" w:rsidRDefault="00763DB5" w:rsidP="00763DB5">
      <w:pPr>
        <w:rPr>
          <w:i/>
          <w:iCs/>
        </w:rPr>
      </w:pPr>
      <w:r w:rsidRPr="00763DB5">
        <w:rPr>
          <w:i/>
          <w:iCs/>
        </w:rPr>
        <w:t>(2)  Development consent must not be granted to development on land the consent authority considers to be within the flood planning area unless the consent authority is satisfied the development—</w:t>
      </w:r>
    </w:p>
    <w:p w14:paraId="4C2BC332" w14:textId="77777777" w:rsidR="00763DB5" w:rsidRPr="00763DB5" w:rsidRDefault="00763DB5" w:rsidP="00763DB5">
      <w:pPr>
        <w:rPr>
          <w:i/>
          <w:iCs/>
        </w:rPr>
      </w:pPr>
      <w:r w:rsidRPr="00763DB5">
        <w:rPr>
          <w:i/>
          <w:iCs/>
        </w:rPr>
        <w:t>(a)  is compatible with the flood function and behaviour on the land, and</w:t>
      </w:r>
    </w:p>
    <w:p w14:paraId="45EC3B84" w14:textId="77777777" w:rsidR="00763DB5" w:rsidRPr="00763DB5" w:rsidRDefault="00763DB5" w:rsidP="00763DB5">
      <w:pPr>
        <w:rPr>
          <w:i/>
          <w:iCs/>
        </w:rPr>
      </w:pPr>
      <w:r w:rsidRPr="00763DB5">
        <w:rPr>
          <w:i/>
          <w:iCs/>
        </w:rPr>
        <w:t>(b)  will not adversely affect flood behaviour in a way that results in detrimental increases in the potential flood affectation of other development or properties, and</w:t>
      </w:r>
    </w:p>
    <w:p w14:paraId="12B41571" w14:textId="77777777" w:rsidR="00763DB5" w:rsidRPr="00763DB5" w:rsidRDefault="00763DB5" w:rsidP="00763DB5">
      <w:pPr>
        <w:rPr>
          <w:i/>
          <w:iCs/>
        </w:rPr>
      </w:pPr>
      <w:r w:rsidRPr="00763DB5">
        <w:rPr>
          <w:i/>
          <w:iCs/>
        </w:rPr>
        <w:lastRenderedPageBreak/>
        <w:t>(c)  will not adversely affect the safe occupation and efficient evacuation of people or exceed the capacity of existing evacuation routes for the surrounding area in the event of a flood, and</w:t>
      </w:r>
    </w:p>
    <w:p w14:paraId="21A74567" w14:textId="77777777" w:rsidR="00763DB5" w:rsidRPr="00763DB5" w:rsidRDefault="00763DB5" w:rsidP="00763DB5">
      <w:pPr>
        <w:rPr>
          <w:i/>
          <w:iCs/>
        </w:rPr>
      </w:pPr>
      <w:r w:rsidRPr="00763DB5">
        <w:rPr>
          <w:i/>
          <w:iCs/>
        </w:rPr>
        <w:t>(d)  incorporates appropriate measures to manage risk to life in the event of a flood, and</w:t>
      </w:r>
    </w:p>
    <w:p w14:paraId="291E407C" w14:textId="77777777" w:rsidR="00763DB5" w:rsidRPr="00763DB5" w:rsidRDefault="00763DB5" w:rsidP="00763DB5">
      <w:pPr>
        <w:rPr>
          <w:i/>
          <w:iCs/>
        </w:rPr>
      </w:pPr>
      <w:r w:rsidRPr="00763DB5">
        <w:rPr>
          <w:i/>
          <w:iCs/>
        </w:rPr>
        <w:t xml:space="preserve">(e)  will not adversely affect the environment or cause avoidable erosion, siltation, destruction of riparian vegetation or a reduction in the stability of </w:t>
      </w:r>
      <w:proofErr w:type="gramStart"/>
      <w:r w:rsidRPr="00763DB5">
        <w:rPr>
          <w:i/>
          <w:iCs/>
        </w:rPr>
        <w:t>river banks</w:t>
      </w:r>
      <w:proofErr w:type="gramEnd"/>
      <w:r w:rsidRPr="00763DB5">
        <w:rPr>
          <w:i/>
          <w:iCs/>
        </w:rPr>
        <w:t xml:space="preserve"> or watercourses.</w:t>
      </w:r>
    </w:p>
    <w:p w14:paraId="089C9424" w14:textId="77777777" w:rsidR="00763DB5" w:rsidRPr="00763DB5" w:rsidRDefault="00763DB5" w:rsidP="00763DB5">
      <w:pPr>
        <w:rPr>
          <w:i/>
          <w:iCs/>
        </w:rPr>
      </w:pPr>
      <w:r w:rsidRPr="00763DB5">
        <w:rPr>
          <w:i/>
          <w:iCs/>
        </w:rPr>
        <w:t>(3)  In deciding whether to grant development consent on land to which this clause applies, the consent authority must consider the following matters—</w:t>
      </w:r>
    </w:p>
    <w:p w14:paraId="79EBDA4E" w14:textId="77777777" w:rsidR="00763DB5" w:rsidRPr="00763DB5" w:rsidRDefault="00763DB5" w:rsidP="00763DB5">
      <w:r w:rsidRPr="00763DB5">
        <w:rPr>
          <w:i/>
          <w:iCs/>
        </w:rPr>
        <w:t xml:space="preserve">(a)  the impact of the development on projected changes to flood behaviour </w:t>
      </w:r>
      <w:proofErr w:type="gramStart"/>
      <w:r w:rsidRPr="00763DB5">
        <w:rPr>
          <w:i/>
          <w:iCs/>
        </w:rPr>
        <w:t>as a result of</w:t>
      </w:r>
      <w:proofErr w:type="gramEnd"/>
      <w:r w:rsidRPr="00763DB5">
        <w:rPr>
          <w:i/>
          <w:iCs/>
        </w:rPr>
        <w:t xml:space="preserve"> climate</w:t>
      </w:r>
      <w:r w:rsidRPr="00763DB5">
        <w:t xml:space="preserve"> change,</w:t>
      </w:r>
    </w:p>
    <w:p w14:paraId="6822C923" w14:textId="77777777" w:rsidR="00763DB5" w:rsidRPr="00763DB5" w:rsidRDefault="00763DB5" w:rsidP="00763DB5">
      <w:r w:rsidRPr="00763DB5">
        <w:t>(b)  the intended design and scale of buildings resulting from the development,</w:t>
      </w:r>
    </w:p>
    <w:p w14:paraId="198B25A6" w14:textId="77777777" w:rsidR="00763DB5" w:rsidRPr="00763DB5" w:rsidRDefault="00763DB5" w:rsidP="00763DB5">
      <w:pPr>
        <w:rPr>
          <w:i/>
          <w:iCs/>
        </w:rPr>
      </w:pPr>
      <w:r w:rsidRPr="00763DB5">
        <w:t>(</w:t>
      </w:r>
      <w:r w:rsidRPr="00763DB5">
        <w:rPr>
          <w:i/>
          <w:iCs/>
        </w:rPr>
        <w:t>c)  whether the development incorporates measures to minimise the risk to life and ensure the safe evacuation of people in the event of a flood,</w:t>
      </w:r>
    </w:p>
    <w:p w14:paraId="0A30144B" w14:textId="146935C3" w:rsidR="00763DB5" w:rsidRDefault="00763DB5" w:rsidP="00763DB5">
      <w:pPr>
        <w:rPr>
          <w:i/>
          <w:iCs/>
        </w:rPr>
      </w:pPr>
      <w:r w:rsidRPr="00763DB5">
        <w:rPr>
          <w:i/>
          <w:iCs/>
        </w:rPr>
        <w:t>(d)  the potential to modify, relocate or remove buildings resulting from development if the surrounding area is impacted by flooding or coastal erosion.</w:t>
      </w:r>
    </w:p>
    <w:p w14:paraId="23403EED" w14:textId="72BACFB4" w:rsidR="0069325B" w:rsidRDefault="0069325B" w:rsidP="00763DB5">
      <w:pPr>
        <w:rPr>
          <w:i/>
          <w:iCs/>
        </w:rPr>
      </w:pPr>
    </w:p>
    <w:p w14:paraId="3A3A988B" w14:textId="132AE843" w:rsidR="0069325B" w:rsidRDefault="0069325B" w:rsidP="00763DB5">
      <w:pPr>
        <w:rPr>
          <w:i/>
          <w:iCs/>
        </w:rPr>
      </w:pPr>
      <w:r w:rsidRPr="00472145">
        <w:rPr>
          <w:noProof/>
        </w:rPr>
        <w:drawing>
          <wp:inline distT="0" distB="0" distL="0" distR="0" wp14:anchorId="0320E313" wp14:editId="2F19FDD0">
            <wp:extent cx="17049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438150"/>
                    </a:xfrm>
                    <a:prstGeom prst="rect">
                      <a:avLst/>
                    </a:prstGeom>
                    <a:noFill/>
                    <a:ln>
                      <a:noFill/>
                    </a:ln>
                  </pic:spPr>
                </pic:pic>
              </a:graphicData>
            </a:graphic>
          </wp:inline>
        </w:drawing>
      </w:r>
    </w:p>
    <w:p w14:paraId="39E65043" w14:textId="36FAB0DB" w:rsidR="0069325B" w:rsidRPr="0069325B" w:rsidRDefault="0069325B" w:rsidP="0069325B">
      <w:pPr>
        <w:spacing w:after="0"/>
        <w:rPr>
          <w:b/>
          <w:bCs/>
        </w:rPr>
      </w:pPr>
      <w:r w:rsidRPr="0069325B">
        <w:rPr>
          <w:b/>
          <w:bCs/>
        </w:rPr>
        <w:t>Marie Sutton</w:t>
      </w:r>
    </w:p>
    <w:p w14:paraId="4A5F80B9" w14:textId="192106CA" w:rsidR="0069325B" w:rsidRPr="0069325B" w:rsidRDefault="0069325B" w:rsidP="0069325B">
      <w:pPr>
        <w:spacing w:after="0"/>
        <w:rPr>
          <w:b/>
          <w:bCs/>
        </w:rPr>
      </w:pPr>
      <w:r w:rsidRPr="0069325B">
        <w:rPr>
          <w:b/>
          <w:bCs/>
        </w:rPr>
        <w:t xml:space="preserve">Manager Development Services </w:t>
      </w:r>
    </w:p>
    <w:sectPr w:rsidR="0069325B" w:rsidRPr="0069325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5FBF" w14:textId="77777777" w:rsidR="0069325B" w:rsidRDefault="0069325B" w:rsidP="0069325B">
      <w:pPr>
        <w:spacing w:after="0" w:line="240" w:lineRule="auto"/>
      </w:pPr>
      <w:r>
        <w:separator/>
      </w:r>
    </w:p>
  </w:endnote>
  <w:endnote w:type="continuationSeparator" w:id="0">
    <w:p w14:paraId="571BACA4" w14:textId="77777777" w:rsidR="0069325B" w:rsidRDefault="0069325B" w:rsidP="0069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761D" w14:textId="77777777" w:rsidR="0069325B" w:rsidRDefault="0069325B" w:rsidP="0069325B">
      <w:pPr>
        <w:spacing w:after="0" w:line="240" w:lineRule="auto"/>
      </w:pPr>
      <w:r>
        <w:separator/>
      </w:r>
    </w:p>
  </w:footnote>
  <w:footnote w:type="continuationSeparator" w:id="0">
    <w:p w14:paraId="5AFBE912" w14:textId="77777777" w:rsidR="0069325B" w:rsidRDefault="0069325B" w:rsidP="00693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9F80" w14:textId="3FAE433D" w:rsidR="0069325B" w:rsidRDefault="0069325B" w:rsidP="0069325B">
    <w:pPr>
      <w:pStyle w:val="Header"/>
      <w:jc w:val="center"/>
    </w:pPr>
    <w:r w:rsidRPr="0069325B">
      <w:drawing>
        <wp:inline distT="0" distB="0" distL="0" distR="0" wp14:anchorId="6F137BFE" wp14:editId="1BA49808">
          <wp:extent cx="33813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D5068"/>
    <w:multiLevelType w:val="multilevel"/>
    <w:tmpl w:val="CCE2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C4"/>
    <w:rsid w:val="00040615"/>
    <w:rsid w:val="002C32FC"/>
    <w:rsid w:val="00331CC4"/>
    <w:rsid w:val="0048675D"/>
    <w:rsid w:val="005902C7"/>
    <w:rsid w:val="0069325B"/>
    <w:rsid w:val="00763DB5"/>
    <w:rsid w:val="00785E7C"/>
    <w:rsid w:val="009C4FE4"/>
    <w:rsid w:val="00D50FE5"/>
    <w:rsid w:val="00F90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F761"/>
  <w15:chartTrackingRefBased/>
  <w15:docId w15:val="{44484AFE-AC66-4F66-9726-1854B09F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25B"/>
  </w:style>
  <w:style w:type="paragraph" w:styleId="Footer">
    <w:name w:val="footer"/>
    <w:basedOn w:val="Normal"/>
    <w:link w:val="FooterChar"/>
    <w:uiPriority w:val="99"/>
    <w:unhideWhenUsed/>
    <w:rsid w:val="00693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45579">
      <w:bodyDiv w:val="1"/>
      <w:marLeft w:val="0"/>
      <w:marRight w:val="0"/>
      <w:marTop w:val="0"/>
      <w:marBottom w:val="0"/>
      <w:divBdr>
        <w:top w:val="none" w:sz="0" w:space="0" w:color="auto"/>
        <w:left w:val="none" w:sz="0" w:space="0" w:color="auto"/>
        <w:bottom w:val="none" w:sz="0" w:space="0" w:color="auto"/>
        <w:right w:val="none" w:sz="0" w:space="0" w:color="auto"/>
      </w:divBdr>
      <w:divsChild>
        <w:div w:id="183567892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84022563">
              <w:marLeft w:val="0"/>
              <w:marRight w:val="0"/>
              <w:marTop w:val="0"/>
              <w:marBottom w:val="0"/>
              <w:divBdr>
                <w:top w:val="none" w:sz="0" w:space="0" w:color="auto"/>
                <w:left w:val="none" w:sz="0" w:space="0" w:color="auto"/>
                <w:bottom w:val="none" w:sz="0" w:space="0" w:color="auto"/>
                <w:right w:val="none" w:sz="0" w:space="0" w:color="auto"/>
              </w:divBdr>
              <w:divsChild>
                <w:div w:id="17524651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4175457">
              <w:marLeft w:val="0"/>
              <w:marRight w:val="0"/>
              <w:marTop w:val="0"/>
              <w:marBottom w:val="0"/>
              <w:divBdr>
                <w:top w:val="none" w:sz="0" w:space="0" w:color="auto"/>
                <w:left w:val="none" w:sz="0" w:space="0" w:color="auto"/>
                <w:bottom w:val="none" w:sz="0" w:space="0" w:color="auto"/>
                <w:right w:val="none" w:sz="0" w:space="0" w:color="auto"/>
              </w:divBdr>
              <w:divsChild>
                <w:div w:id="19245349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7233585">
              <w:marLeft w:val="0"/>
              <w:marRight w:val="0"/>
              <w:marTop w:val="0"/>
              <w:marBottom w:val="0"/>
              <w:divBdr>
                <w:top w:val="none" w:sz="0" w:space="0" w:color="auto"/>
                <w:left w:val="none" w:sz="0" w:space="0" w:color="auto"/>
                <w:bottom w:val="none" w:sz="0" w:space="0" w:color="auto"/>
                <w:right w:val="none" w:sz="0" w:space="0" w:color="auto"/>
              </w:divBdr>
              <w:divsChild>
                <w:div w:id="8085965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064701">
              <w:marLeft w:val="0"/>
              <w:marRight w:val="0"/>
              <w:marTop w:val="0"/>
              <w:marBottom w:val="0"/>
              <w:divBdr>
                <w:top w:val="none" w:sz="0" w:space="0" w:color="auto"/>
                <w:left w:val="none" w:sz="0" w:space="0" w:color="auto"/>
                <w:bottom w:val="none" w:sz="0" w:space="0" w:color="auto"/>
                <w:right w:val="none" w:sz="0" w:space="0" w:color="auto"/>
              </w:divBdr>
              <w:divsChild>
                <w:div w:id="11600761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5355088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29690456">
              <w:marLeft w:val="0"/>
              <w:marRight w:val="0"/>
              <w:marTop w:val="0"/>
              <w:marBottom w:val="0"/>
              <w:divBdr>
                <w:top w:val="none" w:sz="0" w:space="0" w:color="auto"/>
                <w:left w:val="none" w:sz="0" w:space="0" w:color="auto"/>
                <w:bottom w:val="none" w:sz="0" w:space="0" w:color="auto"/>
                <w:right w:val="none" w:sz="0" w:space="0" w:color="auto"/>
              </w:divBdr>
              <w:divsChild>
                <w:div w:id="14360525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9282307">
              <w:marLeft w:val="0"/>
              <w:marRight w:val="0"/>
              <w:marTop w:val="0"/>
              <w:marBottom w:val="0"/>
              <w:divBdr>
                <w:top w:val="none" w:sz="0" w:space="0" w:color="auto"/>
                <w:left w:val="none" w:sz="0" w:space="0" w:color="auto"/>
                <w:bottom w:val="none" w:sz="0" w:space="0" w:color="auto"/>
                <w:right w:val="none" w:sz="0" w:space="0" w:color="auto"/>
              </w:divBdr>
              <w:divsChild>
                <w:div w:id="861192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98310481">
              <w:marLeft w:val="0"/>
              <w:marRight w:val="0"/>
              <w:marTop w:val="0"/>
              <w:marBottom w:val="0"/>
              <w:divBdr>
                <w:top w:val="none" w:sz="0" w:space="0" w:color="auto"/>
                <w:left w:val="none" w:sz="0" w:space="0" w:color="auto"/>
                <w:bottom w:val="none" w:sz="0" w:space="0" w:color="auto"/>
                <w:right w:val="none" w:sz="0" w:space="0" w:color="auto"/>
              </w:divBdr>
              <w:divsChild>
                <w:div w:id="21249562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772877">
              <w:marLeft w:val="0"/>
              <w:marRight w:val="0"/>
              <w:marTop w:val="0"/>
              <w:marBottom w:val="0"/>
              <w:divBdr>
                <w:top w:val="none" w:sz="0" w:space="0" w:color="auto"/>
                <w:left w:val="none" w:sz="0" w:space="0" w:color="auto"/>
                <w:bottom w:val="none" w:sz="0" w:space="0" w:color="auto"/>
                <w:right w:val="none" w:sz="0" w:space="0" w:color="auto"/>
              </w:divBdr>
              <w:divsChild>
                <w:div w:id="7713592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5767770">
              <w:marLeft w:val="0"/>
              <w:marRight w:val="0"/>
              <w:marTop w:val="0"/>
              <w:marBottom w:val="0"/>
              <w:divBdr>
                <w:top w:val="none" w:sz="0" w:space="0" w:color="auto"/>
                <w:left w:val="none" w:sz="0" w:space="0" w:color="auto"/>
                <w:bottom w:val="none" w:sz="0" w:space="0" w:color="auto"/>
                <w:right w:val="none" w:sz="0" w:space="0" w:color="auto"/>
              </w:divBdr>
              <w:divsChild>
                <w:div w:id="9781931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920592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36490186">
              <w:marLeft w:val="0"/>
              <w:marRight w:val="0"/>
              <w:marTop w:val="0"/>
              <w:marBottom w:val="0"/>
              <w:divBdr>
                <w:top w:val="none" w:sz="0" w:space="0" w:color="auto"/>
                <w:left w:val="none" w:sz="0" w:space="0" w:color="auto"/>
                <w:bottom w:val="none" w:sz="0" w:space="0" w:color="auto"/>
                <w:right w:val="none" w:sz="0" w:space="0" w:color="auto"/>
              </w:divBdr>
              <w:divsChild>
                <w:div w:id="15768165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30313450">
              <w:marLeft w:val="0"/>
              <w:marRight w:val="0"/>
              <w:marTop w:val="0"/>
              <w:marBottom w:val="0"/>
              <w:divBdr>
                <w:top w:val="none" w:sz="0" w:space="0" w:color="auto"/>
                <w:left w:val="none" w:sz="0" w:space="0" w:color="auto"/>
                <w:bottom w:val="none" w:sz="0" w:space="0" w:color="auto"/>
                <w:right w:val="none" w:sz="0" w:space="0" w:color="auto"/>
              </w:divBdr>
              <w:divsChild>
                <w:div w:id="2007396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13468038">
              <w:marLeft w:val="0"/>
              <w:marRight w:val="0"/>
              <w:marTop w:val="0"/>
              <w:marBottom w:val="0"/>
              <w:divBdr>
                <w:top w:val="none" w:sz="0" w:space="0" w:color="auto"/>
                <w:left w:val="none" w:sz="0" w:space="0" w:color="auto"/>
                <w:bottom w:val="none" w:sz="0" w:space="0" w:color="auto"/>
                <w:right w:val="none" w:sz="0" w:space="0" w:color="auto"/>
              </w:divBdr>
              <w:divsChild>
                <w:div w:id="4118952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9627264">
              <w:marLeft w:val="0"/>
              <w:marRight w:val="0"/>
              <w:marTop w:val="0"/>
              <w:marBottom w:val="0"/>
              <w:divBdr>
                <w:top w:val="none" w:sz="0" w:space="0" w:color="auto"/>
                <w:left w:val="none" w:sz="0" w:space="0" w:color="auto"/>
                <w:bottom w:val="none" w:sz="0" w:space="0" w:color="auto"/>
                <w:right w:val="none" w:sz="0" w:space="0" w:color="auto"/>
              </w:divBdr>
              <w:divsChild>
                <w:div w:id="1191525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807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fa6efd-90ab-4b69-be40-e338ea146283" xsi:nil="true"/>
    <lcf76f155ced4ddcb4097134ff3c332f xmlns="3a3c4322-85bb-4fcb-8fe0-45e492ecca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4B249ECDE71418E1EBB7EEC946E8D" ma:contentTypeVersion="18" ma:contentTypeDescription="Create a new document." ma:contentTypeScope="" ma:versionID="5f136423b40995ada16d94d03994fbc0">
  <xsd:schema xmlns:xsd="http://www.w3.org/2001/XMLSchema" xmlns:xs="http://www.w3.org/2001/XMLSchema" xmlns:p="http://schemas.microsoft.com/office/2006/metadata/properties" xmlns:ns2="3a3c4322-85bb-4fcb-8fe0-45e492ecca2b" xmlns:ns3="9bfa6efd-90ab-4b69-be40-e338ea146283" targetNamespace="http://schemas.microsoft.com/office/2006/metadata/properties" ma:root="true" ma:fieldsID="b64e4fa9d11f309f9afd7ec4f737b41c" ns2:_="" ns3:_="">
    <xsd:import namespace="3a3c4322-85bb-4fcb-8fe0-45e492ecca2b"/>
    <xsd:import namespace="9bfa6efd-90ab-4b69-be40-e338ea1462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c4322-85bb-4fcb-8fe0-45e492ecc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5966a-60a8-4d45-a060-0525aba15c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fa6efd-90ab-4b69-be40-e338ea1462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7113d4-68fe-4126-bbde-a60c559c149f}" ma:internalName="TaxCatchAll" ma:showField="CatchAllData" ma:web="9bfa6efd-90ab-4b69-be40-e338ea146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D8EA0-207D-4B94-AB30-54ED601D253F}">
  <ds:schemaRefs>
    <ds:schemaRef ds:uri="http://schemas.microsoft.com/office/2006/metadata/properties"/>
    <ds:schemaRef ds:uri="http://schemas.microsoft.com/office/infopath/2007/PartnerControls"/>
    <ds:schemaRef ds:uri="9bfa6efd-90ab-4b69-be40-e338ea146283"/>
    <ds:schemaRef ds:uri="3a3c4322-85bb-4fcb-8fe0-45e492ecca2b"/>
  </ds:schemaRefs>
</ds:datastoreItem>
</file>

<file path=customXml/itemProps2.xml><?xml version="1.0" encoding="utf-8"?>
<ds:datastoreItem xmlns:ds="http://schemas.openxmlformats.org/officeDocument/2006/customXml" ds:itemID="{B844E988-820E-4EE4-9D04-9FBEB2F960B4}">
  <ds:schemaRefs>
    <ds:schemaRef ds:uri="http://schemas.microsoft.com/sharepoint/v3/contenttype/forms"/>
  </ds:schemaRefs>
</ds:datastoreItem>
</file>

<file path=customXml/itemProps3.xml><?xml version="1.0" encoding="utf-8"?>
<ds:datastoreItem xmlns:ds="http://schemas.openxmlformats.org/officeDocument/2006/customXml" ds:itemID="{78D166DE-4B19-4068-AFE4-D13C76870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c4322-85bb-4fcb-8fe0-45e492ecca2b"/>
    <ds:schemaRef ds:uri="9bfa6efd-90ab-4b69-be40-e338ea146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Sutton</dc:creator>
  <cp:keywords/>
  <dc:description/>
  <cp:lastModifiedBy>Marie Sutton</cp:lastModifiedBy>
  <cp:revision>2</cp:revision>
  <dcterms:created xsi:type="dcterms:W3CDTF">2022-10-11T02:47:00Z</dcterms:created>
  <dcterms:modified xsi:type="dcterms:W3CDTF">2022-10-11T02:47:00Z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0x010100F9F4B249ECDE71418E1EBB7EEC946E8D</vt:lpwstr>
  </property>
  <property fmtid="{D5CDD505-2E9C-101B-9397-08002B2CF9AE}" pid="3" name="MediaServiceImageTags">
    <vt:lpwstr/>
  </property>
</Properties>
</file>